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B7" w:rsidRDefault="00FF26B7" w:rsidP="00FF26B7"/>
    <w:tbl>
      <w:tblPr>
        <w:tblW w:w="10500" w:type="dxa"/>
        <w:tblCellSpacing w:w="0" w:type="dxa"/>
        <w:tblCellMar>
          <w:left w:w="0" w:type="dxa"/>
          <w:right w:w="0" w:type="dxa"/>
        </w:tblCellMar>
        <w:tblLook w:val="04A0" w:firstRow="1" w:lastRow="0" w:firstColumn="1" w:lastColumn="0" w:noHBand="0" w:noVBand="1"/>
      </w:tblPr>
      <w:tblGrid>
        <w:gridCol w:w="10500"/>
        <w:gridCol w:w="51"/>
      </w:tblGrid>
      <w:tr w:rsidR="00FF26B7" w:rsidTr="00FF26B7">
        <w:trPr>
          <w:tblCellSpacing w:w="0" w:type="dxa"/>
        </w:trPr>
        <w:tc>
          <w:tcPr>
            <w:tcW w:w="10500" w:type="dxa"/>
            <w:vAlign w:val="center"/>
            <w:hideMark/>
          </w:tcPr>
          <w:p w:rsidR="00FF26B7" w:rsidRDefault="00FF26B7">
            <w:pPr>
              <w:rPr>
                <w:rFonts w:ascii="Arial" w:hAnsi="Arial" w:cs="Arial"/>
                <w:color w:val="000000"/>
                <w:sz w:val="18"/>
                <w:szCs w:val="18"/>
              </w:rPr>
            </w:pPr>
            <w:r>
              <w:rPr>
                <w:rFonts w:ascii="Arial" w:hAnsi="Arial" w:cs="Arial"/>
                <w:noProof/>
                <w:color w:val="000000"/>
                <w:sz w:val="18"/>
                <w:szCs w:val="18"/>
              </w:rPr>
              <w:drawing>
                <wp:inline distT="0" distB="0" distL="0" distR="0">
                  <wp:extent cx="6667500" cy="1362075"/>
                  <wp:effectExtent l="0" t="0" r="0" b="9525"/>
                  <wp:docPr id="1" name="Picture 1" descr="https://webapps.broward.org/NewsRelease/images/top_banner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ps.broward.org/NewsRelease/images/top_banner_new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362075"/>
                          </a:xfrm>
                          <a:prstGeom prst="rect">
                            <a:avLst/>
                          </a:prstGeom>
                          <a:noFill/>
                          <a:ln>
                            <a:noFill/>
                          </a:ln>
                        </pic:spPr>
                      </pic:pic>
                    </a:graphicData>
                  </a:graphic>
                </wp:inline>
              </w:drawing>
            </w:r>
          </w:p>
        </w:tc>
        <w:tc>
          <w:tcPr>
            <w:tcW w:w="0" w:type="auto"/>
            <w:vAlign w:val="center"/>
            <w:hideMark/>
          </w:tcPr>
          <w:p w:rsidR="00FF26B7" w:rsidRDefault="00FF26B7">
            <w:pPr>
              <w:rPr>
                <w:rFonts w:ascii="Arial" w:hAnsi="Arial" w:cs="Arial"/>
                <w:color w:val="000000"/>
                <w:sz w:val="18"/>
                <w:szCs w:val="18"/>
              </w:rPr>
            </w:pPr>
            <w:r>
              <w:rPr>
                <w:rFonts w:ascii="Arial" w:hAnsi="Arial" w:cs="Arial"/>
                <w:color w:val="000000"/>
                <w:sz w:val="18"/>
                <w:szCs w:val="18"/>
              </w:rPr>
              <w:t> </w:t>
            </w:r>
          </w:p>
        </w:tc>
      </w:tr>
    </w:tbl>
    <w:p w:rsidR="00FF26B7" w:rsidRDefault="00FF26B7" w:rsidP="00FF26B7">
      <w:pPr>
        <w:rPr>
          <w:rFonts w:ascii="Arial" w:hAnsi="Arial" w:cs="Arial"/>
          <w:vanish/>
          <w:color w:val="000000"/>
          <w:sz w:val="18"/>
          <w:szCs w:val="18"/>
        </w:rPr>
      </w:pPr>
    </w:p>
    <w:tbl>
      <w:tblPr>
        <w:tblW w:w="10200" w:type="dxa"/>
        <w:tblCellSpacing w:w="15" w:type="dxa"/>
        <w:tblCellMar>
          <w:left w:w="0" w:type="dxa"/>
          <w:right w:w="0" w:type="dxa"/>
        </w:tblCellMar>
        <w:tblLook w:val="04A0" w:firstRow="1" w:lastRow="0" w:firstColumn="1" w:lastColumn="0" w:noHBand="0" w:noVBand="1"/>
      </w:tblPr>
      <w:tblGrid>
        <w:gridCol w:w="10200"/>
      </w:tblGrid>
      <w:tr w:rsidR="00FF26B7" w:rsidTr="00FF26B7">
        <w:trPr>
          <w:tblCellSpacing w:w="15" w:type="dxa"/>
        </w:trPr>
        <w:tc>
          <w:tcPr>
            <w:tcW w:w="0" w:type="auto"/>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b/>
                <w:bCs/>
                <w:color w:val="003399"/>
                <w:sz w:val="28"/>
                <w:szCs w:val="28"/>
                <w:bdr w:val="none" w:sz="0" w:space="0" w:color="auto" w:frame="1"/>
              </w:rPr>
              <w:t xml:space="preserve">Third Annual Go SOLAR Fest Set for October </w:t>
            </w:r>
          </w:p>
        </w:tc>
      </w:tr>
      <w:tr w:rsidR="00FF26B7" w:rsidTr="00FF26B7">
        <w:trPr>
          <w:tblCellSpacing w:w="15" w:type="dxa"/>
        </w:trPr>
        <w:tc>
          <w:tcPr>
            <w:tcW w:w="0" w:type="auto"/>
            <w:tcMar>
              <w:top w:w="15" w:type="dxa"/>
              <w:left w:w="15" w:type="dxa"/>
              <w:bottom w:w="15" w:type="dxa"/>
              <w:right w:w="15" w:type="dxa"/>
            </w:tcMar>
            <w:hideMark/>
          </w:tcPr>
          <w:tbl>
            <w:tblPr>
              <w:tblpPr w:leftFromText="45" w:rightFromText="45" w:vertAnchor="text" w:tblpXSpec="right" w:tblpYSpec="center"/>
              <w:tblW w:w="1400" w:type="pct"/>
              <w:tblCellSpacing w:w="15" w:type="dxa"/>
              <w:tblCellMar>
                <w:left w:w="0" w:type="dxa"/>
                <w:right w:w="0" w:type="dxa"/>
              </w:tblCellMar>
              <w:tblLook w:val="04A0" w:firstRow="1" w:lastRow="0" w:firstColumn="1" w:lastColumn="0" w:noHBand="0" w:noVBand="1"/>
            </w:tblPr>
            <w:tblGrid>
              <w:gridCol w:w="2831"/>
            </w:tblGrid>
            <w:tr w:rsidR="00FF26B7">
              <w:trPr>
                <w:tblCellSpacing w:w="15" w:type="dxa"/>
              </w:trPr>
              <w:tc>
                <w:tcPr>
                  <w:tcW w:w="0" w:type="auto"/>
                  <w:tcMar>
                    <w:top w:w="150" w:type="dxa"/>
                    <w:left w:w="150" w:type="dxa"/>
                    <w:bottom w:w="150" w:type="dxa"/>
                    <w:right w:w="150" w:type="dxa"/>
                  </w:tcMar>
                  <w:vAlign w:val="center"/>
                  <w:hideMark/>
                </w:tcPr>
                <w:p w:rsidR="00FF26B7" w:rsidRDefault="00FF26B7">
                  <w:pPr>
                    <w:rPr>
                      <w:rFonts w:ascii="Arial" w:hAnsi="Arial" w:cs="Arial"/>
                      <w:color w:val="000000"/>
                      <w:sz w:val="18"/>
                      <w:szCs w:val="18"/>
                    </w:rPr>
                  </w:pPr>
                  <w:bookmarkStart w:id="0" w:name="_GoBack"/>
                  <w:bookmarkEnd w:id="0"/>
                </w:p>
              </w:tc>
            </w:tr>
          </w:tbl>
          <w:p w:rsidR="00FF26B7" w:rsidRDefault="00FF26B7" w:rsidP="00FF26B7">
            <w:pPr>
              <w:pStyle w:val="NormalWeb"/>
              <w:spacing w:before="120" w:beforeAutospacing="0" w:after="0" w:afterAutospacing="0" w:line="240" w:lineRule="exact"/>
              <w:rPr>
                <w:sz w:val="22"/>
                <w:szCs w:val="22"/>
              </w:rPr>
            </w:pPr>
            <w:r>
              <w:rPr>
                <w:b/>
                <w:bCs/>
              </w:rPr>
              <w:t xml:space="preserve">DATE: </w:t>
            </w:r>
            <w:r>
              <w:t>August 10, 2015</w:t>
            </w:r>
            <w:r>
              <w:rPr>
                <w:b/>
                <w:bCs/>
              </w:rPr>
              <w:br/>
              <w:t xml:space="preserve">MEDIA CONTACT: </w:t>
            </w:r>
            <w:r>
              <w:t>Kay Sommers</w:t>
            </w:r>
            <w:r>
              <w:br/>
              <w:t>Environmental Pr</w:t>
            </w:r>
            <w:r>
              <w:t>otection and Growth Management </w:t>
            </w:r>
            <w:r>
              <w:rPr>
                <w:b/>
                <w:bCs/>
              </w:rPr>
              <w:br/>
              <w:t xml:space="preserve">PHONE: </w:t>
            </w:r>
            <w:r>
              <w:t>954-519-1257</w:t>
            </w:r>
            <w:r>
              <w:rPr>
                <w:b/>
                <w:bCs/>
              </w:rPr>
              <w:br/>
              <w:t xml:space="preserve">EMAIL: </w:t>
            </w:r>
            <w:hyperlink r:id="rId5" w:history="1">
              <w:r>
                <w:rPr>
                  <w:rStyle w:val="Hyperlink"/>
                </w:rPr>
                <w:t>ksommers@broward.org</w:t>
              </w:r>
            </w:hyperlink>
            <w:r>
              <w:rPr>
                <w:b/>
                <w:bCs/>
              </w:rPr>
              <w:br/>
            </w:r>
            <w:r>
              <w:rPr>
                <w:b/>
                <w:bCs/>
              </w:rPr>
              <w:br/>
            </w:r>
            <w:r w:rsidRPr="00FF26B7">
              <w:rPr>
                <w:b/>
                <w:bCs/>
                <w:sz w:val="22"/>
                <w:szCs w:val="22"/>
              </w:rPr>
              <w:t xml:space="preserve">BROWARD COUNTY, FL - </w:t>
            </w:r>
            <w:r w:rsidRPr="00FF26B7">
              <w:rPr>
                <w:sz w:val="22"/>
                <w:szCs w:val="22"/>
              </w:rPr>
              <w:t>The Third Annual Go SOLAR &amp; Renewable Energy Fest will be held in October at the Broward County Convention Center. Go SOLAR Florida will</w:t>
            </w:r>
            <w:r w:rsidRPr="00FF26B7">
              <w:rPr>
                <w:color w:val="FF0000"/>
                <w:sz w:val="22"/>
                <w:szCs w:val="22"/>
              </w:rPr>
              <w:t xml:space="preserve"> </w:t>
            </w:r>
            <w:r w:rsidRPr="00FF26B7">
              <w:rPr>
                <w:sz w:val="22"/>
                <w:szCs w:val="22"/>
              </w:rPr>
              <w:t>sponsor this FREE event, which includes free parking, to educate businesses and residents on solar and renewable energy. The Fest will run from 10AM-6PM Friday, October 9th, and from 10AM-4PM Saturday, October 10th. </w:t>
            </w:r>
            <w:hyperlink r:id="rId6" w:tgtFrame="_blank" w:history="1">
              <w:r w:rsidRPr="00FF26B7">
                <w:rPr>
                  <w:rStyle w:val="Hyperlink"/>
                  <w:sz w:val="22"/>
                  <w:szCs w:val="22"/>
                </w:rPr>
                <w:t>Pre-registration is required</w:t>
              </w:r>
            </w:hyperlink>
            <w:r w:rsidRPr="00FF26B7">
              <w:rPr>
                <w:sz w:val="22"/>
                <w:szCs w:val="22"/>
              </w:rPr>
              <w:t xml:space="preserve"> to attend, exhibit or be a sponsor. This year, the exhibit hall will be on the ground floor of the convention center, which will enable alternative fueled vehicles, vans, and trailers to b</w:t>
            </w:r>
            <w:r>
              <w:rPr>
                <w:sz w:val="22"/>
                <w:szCs w:val="22"/>
              </w:rPr>
              <w:t>e inside with other exhibitors.</w:t>
            </w:r>
          </w:p>
          <w:p w:rsidR="00FF26B7" w:rsidRDefault="00FF26B7" w:rsidP="00FF26B7">
            <w:pPr>
              <w:pStyle w:val="NormalWeb"/>
              <w:spacing w:before="120" w:beforeAutospacing="0" w:after="0" w:afterAutospacing="0" w:line="240" w:lineRule="exact"/>
              <w:rPr>
                <w:sz w:val="22"/>
                <w:szCs w:val="22"/>
              </w:rPr>
            </w:pPr>
            <w:r w:rsidRPr="00FF26B7">
              <w:rPr>
                <w:sz w:val="22"/>
                <w:szCs w:val="22"/>
              </w:rPr>
              <w:t>Small exhibitor space, 100 square feet, will only cost $100.  Small businesses are encouraged to participate.  As a result of surveying past Fest participants, there will be less emphasis on training and greater emphasis on exhibitors. Meeting space will be available for exhibitors to give detailed presentations on their product</w:t>
            </w:r>
            <w:r>
              <w:rPr>
                <w:sz w:val="22"/>
                <w:szCs w:val="22"/>
              </w:rPr>
              <w:t>s and services to participants.</w:t>
            </w:r>
          </w:p>
          <w:p w:rsidR="00FF26B7" w:rsidRDefault="00FF26B7" w:rsidP="00FF26B7">
            <w:pPr>
              <w:pStyle w:val="NormalWeb"/>
              <w:spacing w:before="120" w:beforeAutospacing="0" w:after="0" w:afterAutospacing="0" w:line="240" w:lineRule="exact"/>
              <w:rPr>
                <w:sz w:val="22"/>
                <w:szCs w:val="22"/>
              </w:rPr>
            </w:pPr>
            <w:r w:rsidRPr="00FF26B7">
              <w:rPr>
                <w:sz w:val="22"/>
                <w:szCs w:val="22"/>
              </w:rPr>
              <w:t xml:space="preserve">Sponsors are being sought to help defray the expenses of this event which enables the Fest to keep exhibitor prices low.  An array of options and price ranges are available for cash sponsors and in-kind sponsors are welcome too. Available sponsorships can be found </w:t>
            </w:r>
            <w:hyperlink r:id="rId7" w:tgtFrame="_blank" w:history="1">
              <w:r w:rsidRPr="00FF26B7">
                <w:rPr>
                  <w:rStyle w:val="Hyperlink"/>
                  <w:sz w:val="22"/>
                  <w:szCs w:val="22"/>
                </w:rPr>
                <w:t>here</w:t>
              </w:r>
            </w:hyperlink>
            <w:r>
              <w:rPr>
                <w:sz w:val="22"/>
                <w:szCs w:val="22"/>
              </w:rPr>
              <w:t>.      </w:t>
            </w:r>
          </w:p>
          <w:p w:rsidR="00FF26B7" w:rsidRDefault="00FF26B7" w:rsidP="00FF26B7">
            <w:pPr>
              <w:pStyle w:val="NormalWeb"/>
              <w:spacing w:before="120" w:beforeAutospacing="0" w:after="0" w:afterAutospacing="0" w:line="240" w:lineRule="exact"/>
              <w:rPr>
                <w:sz w:val="22"/>
                <w:szCs w:val="22"/>
              </w:rPr>
            </w:pPr>
            <w:hyperlink r:id="rId8" w:tgtFrame="_self" w:history="1">
              <w:r w:rsidRPr="00FF26B7">
                <w:rPr>
                  <w:rStyle w:val="Hyperlink"/>
                  <w:sz w:val="22"/>
                  <w:szCs w:val="22"/>
                </w:rPr>
                <w:t>Payment</w:t>
              </w:r>
            </w:hyperlink>
            <w:r w:rsidRPr="00FF26B7">
              <w:rPr>
                <w:sz w:val="22"/>
                <w:szCs w:val="22"/>
              </w:rPr>
              <w:t xml:space="preserve"> by exhibitors and sponsors can be made by credit card (no service fee) or by check. Attendees, exhibitors and sponsors can use another option to register online at </w:t>
            </w:r>
            <w:hyperlink r:id="rId9" w:tgtFrame="_self" w:history="1">
              <w:r w:rsidRPr="00FF26B7">
                <w:rPr>
                  <w:rStyle w:val="Hyperlink"/>
                  <w:sz w:val="22"/>
                  <w:szCs w:val="22"/>
                </w:rPr>
                <w:t>Eventbrite</w:t>
              </w:r>
            </w:hyperlink>
            <w:r w:rsidRPr="00FF26B7">
              <w:rPr>
                <w:sz w:val="22"/>
                <w:szCs w:val="22"/>
              </w:rPr>
              <w:t>.  While convenient, there is a service charge for exhibitors and sponsors on t</w:t>
            </w:r>
            <w:r>
              <w:rPr>
                <w:sz w:val="22"/>
                <w:szCs w:val="22"/>
              </w:rPr>
              <w:t>he Eventbrite site.</w:t>
            </w:r>
          </w:p>
          <w:p w:rsidR="00FF26B7" w:rsidRDefault="00FF26B7" w:rsidP="00FF26B7">
            <w:pPr>
              <w:pStyle w:val="NormalWeb"/>
              <w:spacing w:before="120" w:beforeAutospacing="0" w:after="0" w:afterAutospacing="0" w:line="240" w:lineRule="exact"/>
              <w:rPr>
                <w:sz w:val="22"/>
                <w:szCs w:val="22"/>
              </w:rPr>
            </w:pPr>
            <w:r w:rsidRPr="00FF26B7">
              <w:rPr>
                <w:sz w:val="22"/>
                <w:szCs w:val="22"/>
              </w:rPr>
              <w:t xml:space="preserve">Fest organizers are seeking training partners who will offer Continuing Education Units (CEUs) as a way to attract more attendees.  Some options would include CEUs for Planners, LEED Certification, Building Officials, etc.  If you know of a training partner or have specific training and you would like to attend, please email </w:t>
            </w:r>
            <w:hyperlink r:id="rId10" w:tgtFrame="_blank" w:history="1">
              <w:r w:rsidRPr="00FF26B7">
                <w:rPr>
                  <w:rStyle w:val="Hyperlink"/>
                  <w:sz w:val="22"/>
                  <w:szCs w:val="22"/>
                </w:rPr>
                <w:t>Kay Sommers</w:t>
              </w:r>
            </w:hyperlink>
            <w:r>
              <w:rPr>
                <w:sz w:val="22"/>
                <w:szCs w:val="22"/>
              </w:rPr>
              <w:t>.</w:t>
            </w:r>
          </w:p>
          <w:p w:rsidR="00FF26B7" w:rsidRDefault="00FF26B7" w:rsidP="00FF26B7">
            <w:pPr>
              <w:pStyle w:val="NormalWeb"/>
              <w:spacing w:before="120" w:beforeAutospacing="0" w:after="0" w:afterAutospacing="0" w:line="240" w:lineRule="exact"/>
              <w:rPr>
                <w:sz w:val="22"/>
                <w:szCs w:val="22"/>
              </w:rPr>
            </w:pPr>
            <w:r w:rsidRPr="00FF26B7">
              <w:rPr>
                <w:sz w:val="22"/>
                <w:szCs w:val="22"/>
              </w:rPr>
              <w:t>The U.S. Department of Energy (DOE) has awarded the Go SOLAR - Florida team a $1.6 million SunShot Initiative Rooftop Solar Challenge II competitive award to make it easier for Floridians to obtain grid-tied solar installations. Go SOLAR Florida is one of eight recipients of the award nationwide. Its purpose is to increase the use of and access to solar energy among the state's residents and businesses over</w:t>
            </w:r>
            <w:r>
              <w:rPr>
                <w:sz w:val="22"/>
                <w:szCs w:val="22"/>
              </w:rPr>
              <w:t xml:space="preserve"> the next two and a half years.</w:t>
            </w:r>
          </w:p>
          <w:p w:rsidR="00FF26B7" w:rsidRDefault="00FF26B7" w:rsidP="00FF26B7">
            <w:pPr>
              <w:pStyle w:val="NormalWeb"/>
              <w:spacing w:before="120" w:beforeAutospacing="0" w:after="0" w:afterAutospacing="0" w:line="240" w:lineRule="exact"/>
            </w:pPr>
            <w:r w:rsidRPr="00FF26B7">
              <w:rPr>
                <w:sz w:val="22"/>
                <w:szCs w:val="22"/>
              </w:rPr>
              <w:t xml:space="preserve">The Go SOLAR Florida team is a partnership of Florida counties, cities, the Florida Solar Energy Center and Florida Atlantic University representing approximately 4 million Floridians. For more information on the partnership, visit the Go SOLAR </w:t>
            </w:r>
            <w:hyperlink r:id="rId11" w:tgtFrame="_blank" w:history="1">
              <w:r w:rsidRPr="00FF26B7">
                <w:rPr>
                  <w:rStyle w:val="Hyperlink"/>
                  <w:sz w:val="22"/>
                  <w:szCs w:val="22"/>
                </w:rPr>
                <w:t>website</w:t>
              </w:r>
            </w:hyperlink>
            <w:r w:rsidRPr="00FF26B7">
              <w:rPr>
                <w:sz w:val="22"/>
                <w:szCs w:val="22"/>
              </w:rPr>
              <w:t>.</w:t>
            </w:r>
            <w:r>
              <w:rPr>
                <w:sz w:val="24"/>
                <w:szCs w:val="24"/>
              </w:rPr>
              <w:t xml:space="preserve"> </w:t>
            </w:r>
          </w:p>
        </w:tc>
      </w:tr>
    </w:tbl>
    <w:p w:rsidR="00FF26B7" w:rsidRDefault="00FF26B7" w:rsidP="00FF26B7">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10500"/>
      </w:tblGrid>
      <w:tr w:rsidR="00FF26B7" w:rsidTr="00FF26B7">
        <w:trPr>
          <w:tblCellSpacing w:w="0" w:type="dxa"/>
        </w:trPr>
        <w:tc>
          <w:tcPr>
            <w:tcW w:w="0" w:type="auto"/>
            <w:tcMar>
              <w:top w:w="15" w:type="dxa"/>
              <w:left w:w="15" w:type="dxa"/>
              <w:bottom w:w="15" w:type="dxa"/>
              <w:right w:w="15" w:type="dxa"/>
            </w:tcMar>
            <w:vAlign w:val="center"/>
            <w:hideMark/>
          </w:tcPr>
          <w:p w:rsidR="00FF26B7" w:rsidRDefault="00FF26B7">
            <w:pPr>
              <w:rPr>
                <w:rFonts w:ascii="Arial" w:hAnsi="Arial" w:cs="Arial"/>
                <w:b/>
                <w:bCs/>
                <w:color w:val="000000"/>
                <w:sz w:val="18"/>
                <w:szCs w:val="18"/>
              </w:rPr>
            </w:pPr>
            <w:r>
              <w:rPr>
                <w:rFonts w:ascii="Arial" w:hAnsi="Arial" w:cs="Arial"/>
                <w:b/>
                <w:bCs/>
                <w:i/>
                <w:iCs/>
                <w:color w:val="003399"/>
              </w:rPr>
              <w:t>Release Properties</w:t>
            </w:r>
          </w:p>
        </w:tc>
      </w:tr>
    </w:tbl>
    <w:p w:rsidR="00FF26B7" w:rsidRDefault="00FF26B7" w:rsidP="00FF26B7">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193"/>
        <w:gridCol w:w="1195"/>
        <w:gridCol w:w="9112"/>
      </w:tblGrid>
      <w:tr w:rsidR="00FF26B7" w:rsidTr="00FF26B7">
        <w:trPr>
          <w:tblCellSpacing w:w="0" w:type="dxa"/>
          <w:hidden/>
        </w:trPr>
        <w:tc>
          <w:tcPr>
            <w:tcW w:w="285" w:type="dxa"/>
            <w:tcMar>
              <w:top w:w="15" w:type="dxa"/>
              <w:left w:w="15" w:type="dxa"/>
              <w:bottom w:w="15" w:type="dxa"/>
              <w:right w:w="15" w:type="dxa"/>
            </w:tcMar>
            <w:vAlign w:val="center"/>
            <w:hideMark/>
          </w:tcPr>
          <w:p w:rsidR="00FF26B7" w:rsidRDefault="00FF26B7">
            <w:pPr>
              <w:rPr>
                <w:rFonts w:ascii="Arial" w:hAnsi="Arial" w:cs="Arial"/>
                <w:vanish/>
                <w:color w:val="000000"/>
                <w:sz w:val="18"/>
                <w:szCs w:val="18"/>
              </w:rPr>
            </w:pPr>
          </w:p>
        </w:tc>
        <w:tc>
          <w:tcPr>
            <w:tcW w:w="133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color w:val="000000"/>
                <w:sz w:val="18"/>
                <w:szCs w:val="18"/>
              </w:rPr>
              <w:t> </w:t>
            </w:r>
          </w:p>
        </w:tc>
        <w:tc>
          <w:tcPr>
            <w:tcW w:w="0" w:type="auto"/>
            <w:tcMar>
              <w:top w:w="15" w:type="dxa"/>
              <w:left w:w="15" w:type="dxa"/>
              <w:bottom w:w="15" w:type="dxa"/>
              <w:right w:w="15" w:type="dxa"/>
            </w:tcMar>
            <w:vAlign w:val="center"/>
            <w:hideMark/>
          </w:tcPr>
          <w:p w:rsidR="00FF26B7" w:rsidRDefault="00FF26B7">
            <w:pPr>
              <w:rPr>
                <w:rFonts w:ascii="Arial" w:hAnsi="Arial" w:cs="Arial"/>
                <w:color w:val="000000"/>
                <w:sz w:val="18"/>
                <w:szCs w:val="18"/>
              </w:rPr>
            </w:pPr>
          </w:p>
        </w:tc>
      </w:tr>
      <w:tr w:rsidR="00FF26B7" w:rsidTr="00FF26B7">
        <w:trPr>
          <w:tblCellSpacing w:w="0" w:type="dxa"/>
        </w:trPr>
        <w:tc>
          <w:tcPr>
            <w:tcW w:w="285" w:type="dxa"/>
            <w:tcMar>
              <w:top w:w="15" w:type="dxa"/>
              <w:left w:w="15" w:type="dxa"/>
              <w:bottom w:w="15" w:type="dxa"/>
              <w:right w:w="15" w:type="dxa"/>
            </w:tcMar>
            <w:vAlign w:val="center"/>
            <w:hideMark/>
          </w:tcPr>
          <w:p w:rsidR="00FF26B7" w:rsidRDefault="00FF26B7">
            <w:pPr>
              <w:rPr>
                <w:rFonts w:eastAsia="Times New Roman"/>
                <w:sz w:val="20"/>
                <w:szCs w:val="20"/>
              </w:rPr>
            </w:pPr>
          </w:p>
        </w:tc>
        <w:tc>
          <w:tcPr>
            <w:tcW w:w="133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b/>
                <w:bCs/>
                <w:color w:val="003399"/>
                <w:sz w:val="18"/>
                <w:szCs w:val="18"/>
              </w:rPr>
              <w:t>Date:</w:t>
            </w:r>
          </w:p>
        </w:tc>
        <w:tc>
          <w:tcPr>
            <w:tcW w:w="0" w:type="auto"/>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b/>
                <w:bCs/>
                <w:color w:val="003399"/>
                <w:sz w:val="18"/>
                <w:szCs w:val="18"/>
              </w:rPr>
              <w:t>8/10/2015 9:14 AM</w:t>
            </w:r>
          </w:p>
        </w:tc>
      </w:tr>
      <w:tr w:rsidR="00FF26B7" w:rsidTr="00FF26B7">
        <w:trPr>
          <w:tblCellSpacing w:w="0" w:type="dxa"/>
        </w:trPr>
        <w:tc>
          <w:tcPr>
            <w:tcW w:w="28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p>
        </w:tc>
        <w:tc>
          <w:tcPr>
            <w:tcW w:w="1335" w:type="dxa"/>
            <w:tcMar>
              <w:top w:w="15" w:type="dxa"/>
              <w:left w:w="15" w:type="dxa"/>
              <w:bottom w:w="15" w:type="dxa"/>
              <w:right w:w="15" w:type="dxa"/>
            </w:tcMar>
            <w:vAlign w:val="center"/>
            <w:hideMark/>
          </w:tcPr>
          <w:p w:rsidR="00FF26B7" w:rsidRDefault="00FF26B7">
            <w:pPr>
              <w:rPr>
                <w:rFonts w:eastAsia="Times New Roman"/>
                <w:sz w:val="20"/>
                <w:szCs w:val="20"/>
              </w:rPr>
            </w:pPr>
            <w:r>
              <w:rPr>
                <w:rFonts w:ascii="Arial" w:hAnsi="Arial" w:cs="Arial"/>
                <w:b/>
                <w:bCs/>
                <w:color w:val="003399"/>
                <w:sz w:val="18"/>
                <w:szCs w:val="18"/>
              </w:rPr>
              <w:t>Keywords:</w:t>
            </w:r>
          </w:p>
        </w:tc>
        <w:tc>
          <w:tcPr>
            <w:tcW w:w="0" w:type="auto"/>
            <w:tcMar>
              <w:top w:w="15" w:type="dxa"/>
              <w:left w:w="15" w:type="dxa"/>
              <w:bottom w:w="15" w:type="dxa"/>
              <w:right w:w="15" w:type="dxa"/>
            </w:tcMar>
            <w:vAlign w:val="center"/>
            <w:hideMark/>
          </w:tcPr>
          <w:p w:rsidR="00FF26B7" w:rsidRDefault="00FF26B7">
            <w:pPr>
              <w:rPr>
                <w:rFonts w:eastAsia="Times New Roman"/>
                <w:sz w:val="20"/>
                <w:szCs w:val="20"/>
              </w:rPr>
            </w:pPr>
            <w:r>
              <w:rPr>
                <w:rFonts w:ascii="Arial" w:hAnsi="Arial" w:cs="Arial"/>
                <w:b/>
                <w:bCs/>
                <w:color w:val="003399"/>
                <w:sz w:val="18"/>
                <w:szCs w:val="18"/>
              </w:rPr>
              <w:t>Community, Energy, Environment, Events, Exhibits, Small Business, District 1, District 2, District 3, District 4, District 5, District 6, District 7, District 8, District 9</w:t>
            </w:r>
          </w:p>
        </w:tc>
      </w:tr>
      <w:tr w:rsidR="00FF26B7" w:rsidTr="00FF26B7">
        <w:trPr>
          <w:tblCellSpacing w:w="0" w:type="dxa"/>
        </w:trPr>
        <w:tc>
          <w:tcPr>
            <w:tcW w:w="285" w:type="dxa"/>
            <w:tcMar>
              <w:top w:w="15" w:type="dxa"/>
              <w:left w:w="15" w:type="dxa"/>
              <w:bottom w:w="15" w:type="dxa"/>
              <w:right w:w="15" w:type="dxa"/>
            </w:tcMar>
            <w:vAlign w:val="center"/>
            <w:hideMark/>
          </w:tcPr>
          <w:p w:rsidR="00FF26B7" w:rsidRDefault="00FF26B7">
            <w:pPr>
              <w:rPr>
                <w:rFonts w:eastAsia="Times New Roman"/>
                <w:sz w:val="20"/>
                <w:szCs w:val="20"/>
              </w:rPr>
            </w:pPr>
          </w:p>
        </w:tc>
        <w:tc>
          <w:tcPr>
            <w:tcW w:w="133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b/>
                <w:bCs/>
                <w:color w:val="003399"/>
                <w:sz w:val="18"/>
                <w:szCs w:val="18"/>
              </w:rPr>
              <w:t xml:space="preserve">News Type: </w:t>
            </w:r>
          </w:p>
        </w:tc>
        <w:tc>
          <w:tcPr>
            <w:tcW w:w="0" w:type="auto"/>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b/>
                <w:bCs/>
                <w:color w:val="003399"/>
                <w:sz w:val="18"/>
                <w:szCs w:val="18"/>
              </w:rPr>
              <w:t>News Release</w:t>
            </w:r>
          </w:p>
        </w:tc>
      </w:tr>
      <w:tr w:rsidR="00FF26B7" w:rsidTr="00FA069B">
        <w:trPr>
          <w:tblCellSpacing w:w="0" w:type="dxa"/>
        </w:trPr>
        <w:tc>
          <w:tcPr>
            <w:tcW w:w="28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p>
        </w:tc>
        <w:tc>
          <w:tcPr>
            <w:tcW w:w="10215" w:type="dxa"/>
            <w:gridSpan w:val="2"/>
            <w:vMerge w:val="restart"/>
            <w:tcMar>
              <w:top w:w="15" w:type="dxa"/>
              <w:left w:w="15" w:type="dxa"/>
              <w:bottom w:w="15" w:type="dxa"/>
              <w:right w:w="15" w:type="dxa"/>
            </w:tcMar>
            <w:vAlign w:val="center"/>
          </w:tcPr>
          <w:p w:rsidR="00FF26B7" w:rsidRDefault="00FF26B7">
            <w:pPr>
              <w:rPr>
                <w:rFonts w:ascii="Arial" w:hAnsi="Arial" w:cs="Arial"/>
                <w:color w:val="000000"/>
                <w:sz w:val="18"/>
                <w:szCs w:val="18"/>
              </w:rPr>
            </w:pPr>
          </w:p>
        </w:tc>
      </w:tr>
      <w:tr w:rsidR="00FF26B7" w:rsidTr="00FA069B">
        <w:trPr>
          <w:tblCellSpacing w:w="0" w:type="dxa"/>
        </w:trPr>
        <w:tc>
          <w:tcPr>
            <w:tcW w:w="28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p>
        </w:tc>
        <w:tc>
          <w:tcPr>
            <w:tcW w:w="10215" w:type="dxa"/>
            <w:gridSpan w:val="2"/>
            <w:vMerge/>
            <w:tcMar>
              <w:top w:w="15" w:type="dxa"/>
              <w:left w:w="15" w:type="dxa"/>
              <w:bottom w:w="15" w:type="dxa"/>
              <w:right w:w="15" w:type="dxa"/>
            </w:tcMar>
            <w:vAlign w:val="center"/>
          </w:tcPr>
          <w:p w:rsidR="00FF26B7" w:rsidRDefault="00FF26B7">
            <w:pPr>
              <w:rPr>
                <w:rFonts w:ascii="Arial" w:hAnsi="Arial" w:cs="Arial"/>
                <w:color w:val="000000"/>
                <w:sz w:val="18"/>
                <w:szCs w:val="18"/>
              </w:rPr>
            </w:pPr>
          </w:p>
        </w:tc>
      </w:tr>
    </w:tbl>
    <w:p w:rsidR="002A1900" w:rsidRDefault="002A1900" w:rsidP="00FF26B7"/>
    <w:sectPr w:rsidR="002A1900" w:rsidSect="00FF26B7">
      <w:pgSz w:w="12240" w:h="15840"/>
      <w:pgMar w:top="540" w:right="14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B7"/>
    <w:rsid w:val="002A1900"/>
    <w:rsid w:val="00FF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88FCE-46AA-4D8E-A2DD-57C40563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6B7"/>
    <w:rPr>
      <w:rFonts w:ascii="Arial" w:hAnsi="Arial" w:cs="Arial" w:hint="default"/>
      <w:b/>
      <w:bCs/>
      <w:strike w:val="0"/>
      <w:dstrike w:val="0"/>
      <w:color w:val="003399"/>
      <w:u w:val="none"/>
      <w:effect w:val="none"/>
    </w:rPr>
  </w:style>
  <w:style w:type="paragraph" w:styleId="NormalWeb">
    <w:name w:val="Normal (Web)"/>
    <w:basedOn w:val="Normal"/>
    <w:uiPriority w:val="99"/>
    <w:semiHidden/>
    <w:unhideWhenUsed/>
    <w:rsid w:val="00FF26B7"/>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wardauthor/GoGreen/GoSOLAR/Fest2015/AboutGoSOLARFest/Documents/2015GoSolarFestExhibitorSponsorForm.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owardauthor/GoGreen/GoSOLAR/Fest2015/AboutGoSOLARFest/Documents/ExhibitOne2015.pdf"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eventbrite.com/e/third-annual-go-solar-renewable-energy-fest-registration-17542181136?ref=ebtnebregn" TargetMode="External"/><Relationship Id="rId11" Type="http://schemas.openxmlformats.org/officeDocument/2006/relationships/hyperlink" Target="https://browardauthor/GoGreen/GoSOLAR/GoSOLARFlorida/Pages/Default.aspx" TargetMode="External"/><Relationship Id="rId5" Type="http://schemas.openxmlformats.org/officeDocument/2006/relationships/hyperlink" Target="mailto:ksommers@broward.org" TargetMode="External"/><Relationship Id="rId15" Type="http://schemas.openxmlformats.org/officeDocument/2006/relationships/customXml" Target="../customXml/item2.xml"/><Relationship Id="rId10" Type="http://schemas.openxmlformats.org/officeDocument/2006/relationships/hyperlink" Target="mailto:ksommers@broward.org" TargetMode="External"/><Relationship Id="rId4" Type="http://schemas.openxmlformats.org/officeDocument/2006/relationships/image" Target="media/image1.jpeg"/><Relationship Id="rId9" Type="http://schemas.openxmlformats.org/officeDocument/2006/relationships/hyperlink" Target="http://www.eventbrite.com/e/third-annual-go-solar-renewable-energy-fest-registration-17542181136?ref=ebtnebreg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572E76-DDBA-4515-971E-BADA3C1C69B2}"/>
</file>

<file path=customXml/itemProps2.xml><?xml version="1.0" encoding="utf-8"?>
<ds:datastoreItem xmlns:ds="http://schemas.openxmlformats.org/officeDocument/2006/customXml" ds:itemID="{B14F9FBE-C13E-47DA-A7EF-4838DE69CB32}"/>
</file>

<file path=customXml/itemProps3.xml><?xml version="1.0" encoding="utf-8"?>
<ds:datastoreItem xmlns:ds="http://schemas.openxmlformats.org/officeDocument/2006/customXml" ds:itemID="{FAD9312C-3F17-4E38-A6F6-26B65192142E}"/>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Dobies, Kenneth</dc:creator>
  <cp:keywords/>
  <dc:description/>
  <cp:lastModifiedBy>Dobies, Kenneth</cp:lastModifiedBy>
  <cp:revision>1</cp:revision>
  <dcterms:created xsi:type="dcterms:W3CDTF">2015-08-19T12:04:00Z</dcterms:created>
  <dcterms:modified xsi:type="dcterms:W3CDTF">2015-08-19T12:08:00Z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