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CellSpacing w:w="0" w:type="dxa"/>
        <w:tblCellMar>
          <w:left w:w="0" w:type="dxa"/>
          <w:right w:w="0" w:type="dxa"/>
        </w:tblCellMar>
        <w:tblLook w:val="04A0" w:firstRow="1" w:lastRow="0" w:firstColumn="1" w:lastColumn="0" w:noHBand="0" w:noVBand="1"/>
      </w:tblPr>
      <w:tblGrid>
        <w:gridCol w:w="9735"/>
      </w:tblGrid>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spacing w:after="240"/>
              <w:rPr>
                <w:rFonts w:ascii="Arial" w:eastAsiaTheme="minorHAnsi" w:hAnsi="Arial" w:cs="Arial"/>
                <w:color w:val="000000"/>
                <w:sz w:val="18"/>
                <w:szCs w:val="18"/>
              </w:rPr>
            </w:pPr>
            <w:r>
              <w:rPr>
                <w:rFonts w:ascii="Arial" w:hAnsi="Arial" w:cs="Arial"/>
                <w:b/>
                <w:bCs/>
                <w:color w:val="003399"/>
                <w:sz w:val="28"/>
                <w:szCs w:val="28"/>
                <w:bdr w:val="none" w:sz="0" w:space="0" w:color="auto" w:frame="1"/>
              </w:rPr>
              <w:t>Solar PV Manufacturers Encouraged to Partner with Go SOLAR</w:t>
            </w:r>
            <w:bookmarkStart w:id="0" w:name="_GoBack"/>
            <w:bookmarkEnd w:id="0"/>
          </w:p>
        </w:tc>
      </w:tr>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2"/>
                <w:szCs w:val="12"/>
              </w:rPr>
            </w:pPr>
          </w:p>
        </w:tc>
      </w:tr>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rPr>
                <w:rFonts w:eastAsia="Times New Roman"/>
                <w:sz w:val="20"/>
                <w:szCs w:val="20"/>
              </w:rPr>
            </w:pPr>
          </w:p>
        </w:tc>
      </w:tr>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p>
        </w:tc>
      </w:tr>
      <w:tr w:rsidR="00B43F9B" w:rsidTr="00497D8B">
        <w:trPr>
          <w:tblCellSpacing w:w="0" w:type="dxa"/>
        </w:trPr>
        <w:tc>
          <w:tcPr>
            <w:tcW w:w="9735" w:type="dxa"/>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2717"/>
            </w:tblGrid>
            <w:tr w:rsidR="00B43F9B">
              <w:trPr>
                <w:tblCellSpacing w:w="15" w:type="dxa"/>
              </w:trPr>
              <w:tc>
                <w:tcPr>
                  <w:tcW w:w="0" w:type="auto"/>
                  <w:tcMar>
                    <w:top w:w="150" w:type="dxa"/>
                    <w:left w:w="150" w:type="dxa"/>
                    <w:bottom w:w="150" w:type="dxa"/>
                    <w:right w:w="150" w:type="dxa"/>
                  </w:tcMar>
                  <w:vAlign w:val="center"/>
                  <w:hideMark/>
                </w:tcPr>
                <w:p w:rsidR="00B43F9B" w:rsidRDefault="00B43F9B">
                  <w:pPr>
                    <w:rPr>
                      <w:rFonts w:eastAsia="Times New Roman"/>
                      <w:sz w:val="20"/>
                      <w:szCs w:val="20"/>
                    </w:rPr>
                  </w:pPr>
                </w:p>
              </w:tc>
            </w:tr>
          </w:tbl>
          <w:p w:rsidR="00B43F9B" w:rsidRDefault="00B43F9B">
            <w:pPr>
              <w:pStyle w:val="NormalWeb"/>
            </w:pPr>
            <w:r>
              <w:rPr>
                <w:b/>
                <w:bCs/>
                <w:sz w:val="20"/>
                <w:szCs w:val="20"/>
              </w:rPr>
              <w:t>DATE:</w:t>
            </w:r>
            <w:r>
              <w:rPr>
                <w:sz w:val="20"/>
                <w:szCs w:val="20"/>
              </w:rPr>
              <w:t xml:space="preserve"> July 10, 2012</w:t>
            </w:r>
            <w:r>
              <w:rPr>
                <w:sz w:val="20"/>
                <w:szCs w:val="20"/>
              </w:rPr>
              <w:br/>
            </w:r>
            <w:r>
              <w:rPr>
                <w:b/>
                <w:bCs/>
                <w:sz w:val="20"/>
                <w:szCs w:val="20"/>
              </w:rPr>
              <w:t>MEDIA CONTACT</w:t>
            </w:r>
            <w:r>
              <w:rPr>
                <w:sz w:val="20"/>
                <w:szCs w:val="20"/>
              </w:rPr>
              <w:t>: Jeffrey Halsey, Director, Pollution Prevention, Remediation and Air Quality Division</w:t>
            </w:r>
            <w:r>
              <w:rPr>
                <w:sz w:val="20"/>
                <w:szCs w:val="20"/>
              </w:rPr>
              <w:br/>
            </w:r>
            <w:r>
              <w:rPr>
                <w:b/>
                <w:bCs/>
                <w:sz w:val="20"/>
                <w:szCs w:val="20"/>
              </w:rPr>
              <w:t xml:space="preserve">PHONE: </w:t>
            </w:r>
            <w:r>
              <w:rPr>
                <w:sz w:val="20"/>
                <w:szCs w:val="20"/>
              </w:rPr>
              <w:t>954-519-1468</w:t>
            </w:r>
            <w:r>
              <w:rPr>
                <w:sz w:val="20"/>
                <w:szCs w:val="20"/>
              </w:rPr>
              <w:br/>
            </w:r>
            <w:r>
              <w:rPr>
                <w:b/>
                <w:bCs/>
                <w:sz w:val="20"/>
                <w:szCs w:val="20"/>
              </w:rPr>
              <w:t>EMAIL:</w:t>
            </w:r>
            <w:r>
              <w:rPr>
                <w:sz w:val="20"/>
                <w:szCs w:val="20"/>
              </w:rPr>
              <w:t xml:space="preserve"> </w:t>
            </w:r>
            <w:hyperlink r:id="rId5" w:history="1">
              <w:r>
                <w:rPr>
                  <w:rStyle w:val="Hyperlink"/>
                  <w:sz w:val="20"/>
                  <w:szCs w:val="20"/>
                </w:rPr>
                <w:t>jhalsey@broward.org</w:t>
              </w:r>
            </w:hyperlink>
            <w:r>
              <w:rPr>
                <w:sz w:val="20"/>
                <w:szCs w:val="20"/>
              </w:rPr>
              <w:t xml:space="preserve"> </w:t>
            </w:r>
          </w:p>
          <w:p w:rsidR="00B43F9B" w:rsidRDefault="00B43F9B">
            <w:pPr>
              <w:pStyle w:val="NormalWeb"/>
            </w:pPr>
            <w:r>
              <w:rPr>
                <w:sz w:val="24"/>
                <w:szCs w:val="24"/>
              </w:rPr>
              <w:t xml:space="preserve">Broward County and participating municipalities are seeking to partner with the solar industry in a new federally funded program, </w:t>
            </w:r>
            <w:hyperlink r:id="rId6" w:tgtFrame="_self" w:history="1">
              <w:r>
                <w:rPr>
                  <w:rStyle w:val="Hyperlink"/>
                  <w:sz w:val="24"/>
                  <w:szCs w:val="24"/>
                </w:rPr>
                <w:t>Go SOLAR</w:t>
              </w:r>
            </w:hyperlink>
            <w:r w:rsidR="0088384E">
              <w:rPr>
                <w:sz w:val="24"/>
                <w:szCs w:val="24"/>
              </w:rPr>
              <w:t xml:space="preserve"> Broward Rooftop Solar Challenge,</w:t>
            </w:r>
            <w:r>
              <w:rPr>
                <w:sz w:val="24"/>
                <w:szCs w:val="24"/>
              </w:rPr>
              <w:t xml:space="preserve"> to promote the installation of rooftop solar systems for residents and businesses by expediting the permitting process. </w:t>
            </w:r>
          </w:p>
          <w:p w:rsidR="00B43F9B" w:rsidRDefault="00B43F9B">
            <w:pPr>
              <w:pStyle w:val="NormalWeb"/>
            </w:pPr>
            <w:r>
              <w:rPr>
                <w:sz w:val="24"/>
                <w:szCs w:val="24"/>
              </w:rPr>
              <w:t xml:space="preserve">Go SOLAR Broward Rooftop Solar Challenge is a grant from the U.S. Department of Energy (DOE) to promote and accelerate process improvements in market conditions for rooftop </w:t>
            </w:r>
            <w:r w:rsidR="0088384E">
              <w:rPr>
                <w:sz w:val="24"/>
                <w:szCs w:val="24"/>
              </w:rPr>
              <w:t>solar</w:t>
            </w:r>
            <w:r>
              <w:rPr>
                <w:sz w:val="24"/>
                <w:szCs w:val="24"/>
              </w:rPr>
              <w:t xml:space="preserve"> projects. Go SOLAR is part of a nationwide effort to engage local and state governments along with utilities, installers, non-governmental organizations and others to make solar energy more accessible. </w:t>
            </w:r>
          </w:p>
          <w:p w:rsidR="00B43F9B" w:rsidRDefault="00B43F9B">
            <w:pPr>
              <w:pStyle w:val="NormalWeb"/>
            </w:pPr>
            <w:r>
              <w:rPr>
                <w:sz w:val="24"/>
                <w:szCs w:val="24"/>
              </w:rPr>
              <w:t xml:space="preserve">The Go SOLAR Broward Rooftop Solar Challenge Team is working to reduce administrative barriers for residential and small commercial solar installations by streamlining and standardizing administrative processes. </w:t>
            </w:r>
          </w:p>
          <w:p w:rsidR="00B43F9B" w:rsidRDefault="00B43F9B">
            <w:pPr>
              <w:pStyle w:val="NormalWeb"/>
            </w:pPr>
            <w:r>
              <w:rPr>
                <w:sz w:val="24"/>
                <w:szCs w:val="24"/>
              </w:rPr>
              <w:t xml:space="preserve">Participating cities include Coconut Creek, Dania Beach, Davie, Deerfield Beach, Fort Lauderdale, Hallandale Beach, Hillsboro Beach, Lauderdale-By-The-Sea, Miramar, North Lauderdale, Oakland Park, Pompano Beach, Sunrise, Tamarac and Unincorporated Broward County. </w:t>
            </w:r>
          </w:p>
          <w:p w:rsidR="00B43F9B" w:rsidRDefault="00497D8B" w:rsidP="0088384E">
            <w:pPr>
              <w:pStyle w:val="NormalWeb"/>
              <w:spacing w:before="240"/>
            </w:pPr>
            <w:hyperlink r:id="rId7" w:tgtFrame="_blank" w:history="1">
              <w:r w:rsidR="00B43F9B">
                <w:rPr>
                  <w:rStyle w:val="Hyperlink"/>
                  <w:sz w:val="24"/>
                  <w:szCs w:val="24"/>
                </w:rPr>
                <w:t>Co-sponsorship opportunities now available</w:t>
              </w:r>
            </w:hyperlink>
            <w:r w:rsidR="00B43F9B">
              <w:rPr>
                <w:sz w:val="24"/>
                <w:szCs w:val="24"/>
              </w:rPr>
              <w:t xml:space="preserve"> </w:t>
            </w:r>
            <w:r w:rsidR="0088384E">
              <w:rPr>
                <w:sz w:val="24"/>
                <w:szCs w:val="24"/>
              </w:rPr>
              <w:t xml:space="preserve">(click here) </w:t>
            </w:r>
            <w:r w:rsidR="00B43F9B">
              <w:rPr>
                <w:sz w:val="24"/>
                <w:szCs w:val="24"/>
              </w:rPr>
              <w:t xml:space="preserve">through the Purchasing Division website allow interested companies to provide the County with electronic set(s) of </w:t>
            </w:r>
            <w:r w:rsidR="0088384E">
              <w:rPr>
                <w:sz w:val="24"/>
                <w:szCs w:val="24"/>
              </w:rPr>
              <w:t>photovoltaic</w:t>
            </w:r>
            <w:r w:rsidR="00B43F9B">
              <w:rPr>
                <w:sz w:val="24"/>
                <w:szCs w:val="24"/>
              </w:rPr>
              <w:t xml:space="preserve"> solar mounting system design plans that meet the DOE grant program guidelines. In exchange, Broward County will include the company's plans and required equipment list (as submitted under the agreement) as an option on the County's new Go SOLAR online permitting system, scheduled to launch in the fall of 2012.</w:t>
            </w:r>
          </w:p>
          <w:p w:rsidR="00B43F9B" w:rsidRDefault="00B43F9B">
            <w:pPr>
              <w:pStyle w:val="NormalWeb"/>
            </w:pPr>
            <w:r>
              <w:rPr>
                <w:sz w:val="24"/>
                <w:szCs w:val="24"/>
              </w:rPr>
              <w:t xml:space="preserve">The online permitting system provides a convenient way for contractors to apply for </w:t>
            </w:r>
            <w:r w:rsidR="0088384E">
              <w:rPr>
                <w:sz w:val="24"/>
                <w:szCs w:val="24"/>
              </w:rPr>
              <w:t>rooftop</w:t>
            </w:r>
            <w:r>
              <w:rPr>
                <w:sz w:val="24"/>
                <w:szCs w:val="24"/>
              </w:rPr>
              <w:t xml:space="preserve"> </w:t>
            </w:r>
            <w:r w:rsidR="0088384E">
              <w:rPr>
                <w:sz w:val="24"/>
                <w:szCs w:val="24"/>
              </w:rPr>
              <w:t xml:space="preserve">solar </w:t>
            </w:r>
            <w:r>
              <w:rPr>
                <w:sz w:val="24"/>
                <w:szCs w:val="24"/>
              </w:rPr>
              <w:t>system permits online and dramatically shortens the permit approval process. Under the terms of the DOE grant, the County will promote the Go SOLAR program to residents and businesses to increase interest in rooftop PV solar system installations.</w:t>
            </w:r>
          </w:p>
          <w:p w:rsidR="00B43F9B" w:rsidRDefault="00B43F9B">
            <w:pPr>
              <w:pStyle w:val="NormalWeb"/>
            </w:pPr>
            <w:r>
              <w:rPr>
                <w:sz w:val="24"/>
                <w:szCs w:val="24"/>
              </w:rPr>
              <w:t xml:space="preserve">For more information and to join the Go SOLAR Broward Rooftop Solar Challenge team, visit </w:t>
            </w:r>
            <w:hyperlink r:id="rId8" w:tgtFrame="_self" w:history="1">
              <w:r>
                <w:rPr>
                  <w:rStyle w:val="Hyperlink"/>
                  <w:sz w:val="24"/>
                  <w:szCs w:val="24"/>
                </w:rPr>
                <w:t>broward.org/gogreen/gosolar</w:t>
              </w:r>
            </w:hyperlink>
            <w:r>
              <w:rPr>
                <w:sz w:val="24"/>
                <w:szCs w:val="24"/>
              </w:rPr>
              <w:t xml:space="preserve"> or email </w:t>
            </w:r>
            <w:hyperlink r:id="rId9" w:history="1">
              <w:r>
                <w:rPr>
                  <w:rStyle w:val="Hyperlink"/>
                  <w:sz w:val="24"/>
                  <w:szCs w:val="24"/>
                </w:rPr>
                <w:t>gosolar@broward.org</w:t>
              </w:r>
            </w:hyperlink>
            <w:r>
              <w:rPr>
                <w:sz w:val="24"/>
                <w:szCs w:val="24"/>
              </w:rPr>
              <w:t>.  </w:t>
            </w:r>
            <w:r>
              <w:rPr>
                <w:sz w:val="24"/>
                <w:szCs w:val="24"/>
              </w:rPr>
              <w:br/>
              <w:t>  </w:t>
            </w:r>
          </w:p>
        </w:tc>
      </w:tr>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p>
        </w:tc>
      </w:tr>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p>
        </w:tc>
      </w:tr>
    </w:tbl>
    <w:p w:rsidR="00B43F9B" w:rsidRDefault="00B43F9B" w:rsidP="00B43F9B">
      <w:pPr>
        <w:rPr>
          <w:rFonts w:ascii="Arial" w:eastAsiaTheme="minorHAnsi" w:hAnsi="Arial" w:cs="Arial"/>
          <w:vanish/>
          <w:color w:val="000000"/>
          <w:sz w:val="18"/>
          <w:szCs w:val="18"/>
        </w:rPr>
      </w:pPr>
    </w:p>
    <w:tbl>
      <w:tblPr>
        <w:tblW w:w="9735" w:type="dxa"/>
        <w:tblCellSpacing w:w="0" w:type="dxa"/>
        <w:tblCellMar>
          <w:left w:w="0" w:type="dxa"/>
          <w:right w:w="0" w:type="dxa"/>
        </w:tblCellMar>
        <w:tblLook w:val="04A0" w:firstRow="1" w:lastRow="0" w:firstColumn="1" w:lastColumn="0" w:noHBand="0" w:noVBand="1"/>
      </w:tblPr>
      <w:tblGrid>
        <w:gridCol w:w="9735"/>
      </w:tblGrid>
      <w:tr w:rsidR="00B43F9B" w:rsidTr="00497D8B">
        <w:trPr>
          <w:tblCellSpacing w:w="0" w:type="dxa"/>
        </w:trPr>
        <w:tc>
          <w:tcPr>
            <w:tcW w:w="9735" w:type="dxa"/>
            <w:tcMar>
              <w:top w:w="15" w:type="dxa"/>
              <w:left w:w="15" w:type="dxa"/>
              <w:bottom w:w="15" w:type="dxa"/>
              <w:right w:w="15" w:type="dxa"/>
            </w:tcMar>
            <w:vAlign w:val="center"/>
            <w:hideMark/>
          </w:tcPr>
          <w:p w:rsidR="00B43F9B" w:rsidRDefault="00B43F9B">
            <w:pPr>
              <w:rPr>
                <w:rFonts w:ascii="Arial" w:eastAsiaTheme="minorHAnsi" w:hAnsi="Arial" w:cs="Arial"/>
                <w:b/>
                <w:bCs/>
                <w:color w:val="000000"/>
                <w:sz w:val="18"/>
                <w:szCs w:val="18"/>
              </w:rPr>
            </w:pPr>
            <w:r>
              <w:rPr>
                <w:rFonts w:ascii="Arial" w:hAnsi="Arial" w:cs="Arial"/>
                <w:b/>
                <w:bCs/>
                <w:i/>
                <w:iCs/>
                <w:color w:val="003399"/>
              </w:rPr>
              <w:t>Release Properties</w:t>
            </w:r>
          </w:p>
        </w:tc>
      </w:tr>
    </w:tbl>
    <w:p w:rsidR="00B43F9B" w:rsidRDefault="00B43F9B" w:rsidP="00B43F9B">
      <w:pPr>
        <w:rPr>
          <w:rFonts w:ascii="Arial" w:eastAsiaTheme="minorHAnsi" w:hAnsi="Arial" w:cs="Arial"/>
          <w:vanish/>
          <w:color w:val="000000"/>
          <w:sz w:val="18"/>
          <w:szCs w:val="18"/>
        </w:rPr>
      </w:pPr>
    </w:p>
    <w:tbl>
      <w:tblPr>
        <w:tblW w:w="9735" w:type="dxa"/>
        <w:tblCellSpacing w:w="0" w:type="dxa"/>
        <w:tblCellMar>
          <w:left w:w="0" w:type="dxa"/>
          <w:right w:w="0" w:type="dxa"/>
        </w:tblCellMar>
        <w:tblLook w:val="04A0" w:firstRow="1" w:lastRow="0" w:firstColumn="1" w:lastColumn="0" w:noHBand="0" w:noVBand="1"/>
      </w:tblPr>
      <w:tblGrid>
        <w:gridCol w:w="285"/>
        <w:gridCol w:w="1335"/>
        <w:gridCol w:w="8115"/>
      </w:tblGrid>
      <w:tr w:rsidR="00B43F9B" w:rsidTr="00497D8B">
        <w:trPr>
          <w:tblCellSpacing w:w="0" w:type="dxa"/>
        </w:trPr>
        <w:tc>
          <w:tcPr>
            <w:tcW w:w="28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13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color w:val="000000"/>
                <w:sz w:val="18"/>
                <w:szCs w:val="18"/>
              </w:rPr>
              <w:t> </w:t>
            </w:r>
          </w:p>
        </w:tc>
        <w:tc>
          <w:tcPr>
            <w:tcW w:w="8115" w:type="dxa"/>
            <w:tcMar>
              <w:top w:w="15" w:type="dxa"/>
              <w:left w:w="15" w:type="dxa"/>
              <w:bottom w:w="15" w:type="dxa"/>
              <w:right w:w="15" w:type="dxa"/>
            </w:tcMar>
            <w:vAlign w:val="center"/>
            <w:hideMark/>
          </w:tcPr>
          <w:p w:rsidR="00B43F9B" w:rsidRDefault="00B43F9B">
            <w:pPr>
              <w:rPr>
                <w:rFonts w:eastAsia="Times New Roman"/>
                <w:sz w:val="20"/>
                <w:szCs w:val="20"/>
              </w:rPr>
            </w:pPr>
          </w:p>
        </w:tc>
      </w:tr>
      <w:tr w:rsidR="00B43F9B" w:rsidTr="00497D8B">
        <w:trPr>
          <w:tblCellSpacing w:w="0" w:type="dxa"/>
        </w:trPr>
        <w:tc>
          <w:tcPr>
            <w:tcW w:w="28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13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b/>
                <w:bCs/>
                <w:color w:val="003399"/>
                <w:sz w:val="18"/>
                <w:szCs w:val="18"/>
              </w:rPr>
              <w:t>Date:</w:t>
            </w:r>
          </w:p>
        </w:tc>
        <w:tc>
          <w:tcPr>
            <w:tcW w:w="811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b/>
                <w:bCs/>
                <w:color w:val="003399"/>
                <w:sz w:val="18"/>
                <w:szCs w:val="18"/>
              </w:rPr>
              <w:t>7/10/2012 1:23 PM</w:t>
            </w:r>
          </w:p>
        </w:tc>
      </w:tr>
      <w:tr w:rsidR="00B43F9B" w:rsidTr="00497D8B">
        <w:trPr>
          <w:tblCellSpacing w:w="0" w:type="dxa"/>
        </w:trPr>
        <w:tc>
          <w:tcPr>
            <w:tcW w:w="28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133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8115" w:type="dxa"/>
            <w:tcMar>
              <w:top w:w="15" w:type="dxa"/>
              <w:left w:w="15" w:type="dxa"/>
              <w:bottom w:w="15" w:type="dxa"/>
              <w:right w:w="15" w:type="dxa"/>
            </w:tcMar>
            <w:vAlign w:val="center"/>
            <w:hideMark/>
          </w:tcPr>
          <w:p w:rsidR="00B43F9B" w:rsidRDefault="00B43F9B">
            <w:pPr>
              <w:rPr>
                <w:rFonts w:eastAsia="Times New Roman"/>
                <w:sz w:val="20"/>
                <w:szCs w:val="20"/>
              </w:rPr>
            </w:pPr>
          </w:p>
        </w:tc>
      </w:tr>
      <w:tr w:rsidR="00B43F9B" w:rsidTr="00497D8B">
        <w:trPr>
          <w:tblCellSpacing w:w="0" w:type="dxa"/>
        </w:trPr>
        <w:tc>
          <w:tcPr>
            <w:tcW w:w="28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13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b/>
                <w:bCs/>
                <w:color w:val="003399"/>
                <w:sz w:val="18"/>
                <w:szCs w:val="18"/>
              </w:rPr>
              <w:t>Keywords:</w:t>
            </w:r>
          </w:p>
        </w:tc>
        <w:tc>
          <w:tcPr>
            <w:tcW w:w="811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b/>
                <w:bCs/>
                <w:color w:val="003399"/>
                <w:sz w:val="18"/>
                <w:szCs w:val="18"/>
              </w:rPr>
              <w:t>Energy, Environment, Government, District 1, District 2, District 3, District 4, District 5, District 6, District 7, District 8, District 9</w:t>
            </w:r>
          </w:p>
        </w:tc>
      </w:tr>
      <w:tr w:rsidR="00B43F9B" w:rsidTr="00497D8B">
        <w:trPr>
          <w:tblCellSpacing w:w="0" w:type="dxa"/>
        </w:trPr>
        <w:tc>
          <w:tcPr>
            <w:tcW w:w="28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13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b/>
                <w:bCs/>
                <w:color w:val="003399"/>
                <w:sz w:val="18"/>
                <w:szCs w:val="18"/>
              </w:rPr>
              <w:t xml:space="preserve">News Type: </w:t>
            </w:r>
          </w:p>
        </w:tc>
        <w:tc>
          <w:tcPr>
            <w:tcW w:w="811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b/>
                <w:bCs/>
                <w:color w:val="003399"/>
                <w:sz w:val="18"/>
                <w:szCs w:val="18"/>
              </w:rPr>
              <w:t>News Release</w:t>
            </w:r>
          </w:p>
        </w:tc>
      </w:tr>
      <w:tr w:rsidR="00B43F9B" w:rsidTr="00497D8B">
        <w:trPr>
          <w:tblCellSpacing w:w="0" w:type="dxa"/>
        </w:trPr>
        <w:tc>
          <w:tcPr>
            <w:tcW w:w="285" w:type="dxa"/>
            <w:tcMar>
              <w:top w:w="15" w:type="dxa"/>
              <w:left w:w="15" w:type="dxa"/>
              <w:bottom w:w="15" w:type="dxa"/>
              <w:right w:w="15" w:type="dxa"/>
            </w:tcMar>
            <w:vAlign w:val="center"/>
            <w:hideMark/>
          </w:tcPr>
          <w:p w:rsidR="00B43F9B" w:rsidRDefault="00B43F9B">
            <w:pPr>
              <w:rPr>
                <w:rFonts w:eastAsia="Times New Roman"/>
                <w:sz w:val="20"/>
                <w:szCs w:val="20"/>
              </w:rPr>
            </w:pPr>
          </w:p>
        </w:tc>
        <w:tc>
          <w:tcPr>
            <w:tcW w:w="1335" w:type="dxa"/>
            <w:tcMar>
              <w:top w:w="15" w:type="dxa"/>
              <w:left w:w="15" w:type="dxa"/>
              <w:bottom w:w="15" w:type="dxa"/>
              <w:right w:w="15" w:type="dxa"/>
            </w:tcMar>
            <w:vAlign w:val="center"/>
            <w:hideMark/>
          </w:tcPr>
          <w:p w:rsidR="00B43F9B" w:rsidRDefault="00B43F9B">
            <w:pPr>
              <w:rPr>
                <w:rFonts w:ascii="Arial" w:eastAsiaTheme="minorHAnsi" w:hAnsi="Arial" w:cs="Arial"/>
                <w:color w:val="000000"/>
                <w:sz w:val="18"/>
                <w:szCs w:val="18"/>
              </w:rPr>
            </w:pPr>
            <w:r>
              <w:rPr>
                <w:rFonts w:ascii="Arial" w:hAnsi="Arial" w:cs="Arial"/>
                <w:color w:val="000000"/>
                <w:sz w:val="18"/>
                <w:szCs w:val="18"/>
              </w:rPr>
              <w:t> </w:t>
            </w:r>
          </w:p>
        </w:tc>
        <w:tc>
          <w:tcPr>
            <w:tcW w:w="8115" w:type="dxa"/>
            <w:tcMar>
              <w:top w:w="15" w:type="dxa"/>
              <w:left w:w="15" w:type="dxa"/>
              <w:bottom w:w="15" w:type="dxa"/>
              <w:right w:w="15" w:type="dxa"/>
            </w:tcMar>
            <w:vAlign w:val="center"/>
            <w:hideMark/>
          </w:tcPr>
          <w:p w:rsidR="00B43F9B" w:rsidRDefault="00B43F9B">
            <w:pPr>
              <w:rPr>
                <w:rFonts w:eastAsia="Times New Roman"/>
                <w:sz w:val="20"/>
                <w:szCs w:val="20"/>
              </w:rPr>
            </w:pPr>
          </w:p>
        </w:tc>
      </w:tr>
    </w:tbl>
    <w:p w:rsidR="00B43F9B" w:rsidRDefault="00497D8B" w:rsidP="00B43F9B">
      <w:pPr>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525pt;height:1.5pt" o:hrpct="0" o:hrstd="t" o:hr="t" fillcolor="#aca899" stroked="f"/>
        </w:pict>
      </w:r>
    </w:p>
    <w:tbl>
      <w:tblPr>
        <w:tblW w:w="10500" w:type="dxa"/>
        <w:tblCellSpacing w:w="0" w:type="dxa"/>
        <w:tblCellMar>
          <w:left w:w="0" w:type="dxa"/>
          <w:right w:w="0" w:type="dxa"/>
        </w:tblCellMar>
        <w:tblLook w:val="04A0" w:firstRow="1" w:lastRow="0" w:firstColumn="1" w:lastColumn="0" w:noHBand="0" w:noVBand="1"/>
      </w:tblPr>
      <w:tblGrid>
        <w:gridCol w:w="10500"/>
      </w:tblGrid>
      <w:tr w:rsidR="00B43F9B" w:rsidTr="00B43F9B">
        <w:trPr>
          <w:tblCellSpacing w:w="0" w:type="dxa"/>
        </w:trPr>
        <w:tc>
          <w:tcPr>
            <w:tcW w:w="0" w:type="auto"/>
            <w:tcMar>
              <w:top w:w="15" w:type="dxa"/>
              <w:left w:w="15" w:type="dxa"/>
              <w:bottom w:w="15" w:type="dxa"/>
              <w:right w:w="15" w:type="dxa"/>
            </w:tcMar>
            <w:vAlign w:val="center"/>
            <w:hideMark/>
          </w:tcPr>
          <w:p w:rsidR="00B43F9B" w:rsidRDefault="00B43F9B">
            <w:pPr>
              <w:pStyle w:val="NormalWeb"/>
              <w:jc w:val="center"/>
              <w:rPr>
                <w:sz w:val="17"/>
                <w:szCs w:val="17"/>
              </w:rPr>
            </w:pPr>
            <w:r>
              <w:rPr>
                <w:sz w:val="17"/>
                <w:szCs w:val="17"/>
              </w:rPr>
              <w:t xml:space="preserve">Released by the Office of Public Communications </w:t>
            </w:r>
            <w:r>
              <w:rPr>
                <w:sz w:val="17"/>
                <w:szCs w:val="17"/>
              </w:rPr>
              <w:br/>
              <w:t xml:space="preserve">E-mail: </w:t>
            </w:r>
            <w:hyperlink r:id="rId10" w:history="1">
              <w:r>
                <w:rPr>
                  <w:rStyle w:val="Hyperlink"/>
                  <w:sz w:val="17"/>
                  <w:szCs w:val="17"/>
                </w:rPr>
                <w:t>publicinfo@broward.org</w:t>
              </w:r>
            </w:hyperlink>
            <w:r>
              <w:rPr>
                <w:sz w:val="17"/>
                <w:szCs w:val="17"/>
              </w:rPr>
              <w:br/>
              <w:t>954-357-6990 * Fax: 954-357-6936</w:t>
            </w:r>
          </w:p>
        </w:tc>
      </w:tr>
    </w:tbl>
    <w:p w:rsidR="00D81EF2" w:rsidRPr="00B43F9B" w:rsidRDefault="00D81EF2" w:rsidP="00B43F9B"/>
    <w:sectPr w:rsidR="00D81EF2" w:rsidRPr="00B43F9B" w:rsidSect="00497D8B">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2"/>
    <w:rsid w:val="00497D8B"/>
    <w:rsid w:val="0059347F"/>
    <w:rsid w:val="0088384E"/>
    <w:rsid w:val="00B43F9B"/>
    <w:rsid w:val="00D81EF2"/>
    <w:rsid w:val="00DA49DD"/>
    <w:rsid w:val="00EE0C64"/>
    <w:rsid w:val="00F4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F2"/>
    <w:rPr>
      <w:rFonts w:ascii="Calibri" w:eastAsia="Calibri" w:hAnsi="Calibri" w:cs="Times New Roman"/>
    </w:rPr>
  </w:style>
  <w:style w:type="paragraph" w:styleId="Heading3">
    <w:name w:val="heading 3"/>
    <w:basedOn w:val="Normal"/>
    <w:next w:val="Normal"/>
    <w:link w:val="Heading3Char"/>
    <w:qFormat/>
    <w:rsid w:val="00D81EF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1EF2"/>
    <w:rPr>
      <w:rFonts w:ascii="Arial" w:eastAsia="Times New Roman" w:hAnsi="Arial" w:cs="Arial"/>
      <w:b/>
      <w:bCs/>
      <w:sz w:val="26"/>
      <w:szCs w:val="26"/>
    </w:rPr>
  </w:style>
  <w:style w:type="character" w:styleId="Hyperlink">
    <w:name w:val="Hyperlink"/>
    <w:rsid w:val="00D81EF2"/>
    <w:rPr>
      <w:color w:val="0000FF"/>
      <w:u w:val="single"/>
    </w:rPr>
  </w:style>
  <w:style w:type="paragraph" w:styleId="NormalWeb">
    <w:name w:val="Normal (Web)"/>
    <w:basedOn w:val="Normal"/>
    <w:uiPriority w:val="99"/>
    <w:unhideWhenUsed/>
    <w:rsid w:val="00B43F9B"/>
    <w:pPr>
      <w:spacing w:before="100" w:beforeAutospacing="1" w:after="100" w:afterAutospacing="1" w:line="240" w:lineRule="auto"/>
    </w:pPr>
    <w:rPr>
      <w:rFonts w:ascii="Arial" w:eastAsiaTheme="minorHAnsi" w:hAnsi="Arial" w:cs="Arial"/>
      <w:color w:val="000000"/>
      <w:sz w:val="18"/>
      <w:szCs w:val="18"/>
    </w:rPr>
  </w:style>
  <w:style w:type="paragraph" w:styleId="BalloonText">
    <w:name w:val="Balloon Text"/>
    <w:basedOn w:val="Normal"/>
    <w:link w:val="BalloonTextChar"/>
    <w:uiPriority w:val="99"/>
    <w:semiHidden/>
    <w:unhideWhenUsed/>
    <w:rsid w:val="0049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F2"/>
    <w:rPr>
      <w:rFonts w:ascii="Calibri" w:eastAsia="Calibri" w:hAnsi="Calibri" w:cs="Times New Roman"/>
    </w:rPr>
  </w:style>
  <w:style w:type="paragraph" w:styleId="Heading3">
    <w:name w:val="heading 3"/>
    <w:basedOn w:val="Normal"/>
    <w:next w:val="Normal"/>
    <w:link w:val="Heading3Char"/>
    <w:qFormat/>
    <w:rsid w:val="00D81EF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1EF2"/>
    <w:rPr>
      <w:rFonts w:ascii="Arial" w:eastAsia="Times New Roman" w:hAnsi="Arial" w:cs="Arial"/>
      <w:b/>
      <w:bCs/>
      <w:sz w:val="26"/>
      <w:szCs w:val="26"/>
    </w:rPr>
  </w:style>
  <w:style w:type="character" w:styleId="Hyperlink">
    <w:name w:val="Hyperlink"/>
    <w:rsid w:val="00D81EF2"/>
    <w:rPr>
      <w:color w:val="0000FF"/>
      <w:u w:val="single"/>
    </w:rPr>
  </w:style>
  <w:style w:type="paragraph" w:styleId="NormalWeb">
    <w:name w:val="Normal (Web)"/>
    <w:basedOn w:val="Normal"/>
    <w:uiPriority w:val="99"/>
    <w:unhideWhenUsed/>
    <w:rsid w:val="00B43F9B"/>
    <w:pPr>
      <w:spacing w:before="100" w:beforeAutospacing="1" w:after="100" w:afterAutospacing="1" w:line="240" w:lineRule="auto"/>
    </w:pPr>
    <w:rPr>
      <w:rFonts w:ascii="Arial" w:eastAsiaTheme="minorHAnsi" w:hAnsi="Arial" w:cs="Arial"/>
      <w:color w:val="000000"/>
      <w:sz w:val="18"/>
      <w:szCs w:val="18"/>
    </w:rPr>
  </w:style>
  <w:style w:type="paragraph" w:styleId="BalloonText">
    <w:name w:val="Balloon Text"/>
    <w:basedOn w:val="Normal"/>
    <w:link w:val="BalloonTextChar"/>
    <w:uiPriority w:val="99"/>
    <w:semiHidden/>
    <w:unhideWhenUsed/>
    <w:rsid w:val="0049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030">
      <w:bodyDiv w:val="1"/>
      <w:marLeft w:val="0"/>
      <w:marRight w:val="0"/>
      <w:marTop w:val="0"/>
      <w:marBottom w:val="0"/>
      <w:divBdr>
        <w:top w:val="none" w:sz="0" w:space="0" w:color="auto"/>
        <w:left w:val="none" w:sz="0" w:space="0" w:color="auto"/>
        <w:bottom w:val="none" w:sz="0" w:space="0" w:color="auto"/>
        <w:right w:val="none" w:sz="0" w:space="0" w:color="auto"/>
      </w:divBdr>
      <w:divsChild>
        <w:div w:id="84444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org/GOGREEN/GOSOLAR/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roward.org/PURCHASING/Pages/RequestForInformation.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ward.org/GOGREEN/GOSOLAR/Pages/Default.aspx" TargetMode="External"/><Relationship Id="rId11" Type="http://schemas.openxmlformats.org/officeDocument/2006/relationships/fontTable" Target="fontTable.xml"/><Relationship Id="rId5" Type="http://schemas.openxmlformats.org/officeDocument/2006/relationships/hyperlink" Target="mailto:jhalsey@broward.org" TargetMode="External"/><Relationship Id="rId15" Type="http://schemas.openxmlformats.org/officeDocument/2006/relationships/customXml" Target="../customXml/item3.xml"/><Relationship Id="rId10" Type="http://schemas.openxmlformats.org/officeDocument/2006/relationships/hyperlink" Target="mailto:publicinfo@broward.org" TargetMode="External"/><Relationship Id="rId4" Type="http://schemas.openxmlformats.org/officeDocument/2006/relationships/webSettings" Target="webSettings.xml"/><Relationship Id="rId9" Type="http://schemas.openxmlformats.org/officeDocument/2006/relationships/hyperlink" Target="mailto:gosolar@broward.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CBC7B7DA914B8E72F95BA9D01A1E" ma:contentTypeVersion="1" ma:contentTypeDescription="Create a new document." ma:contentTypeScope="" ma:versionID="71e221fe1748813861b282616e7856e9">
  <xsd:schema xmlns:xsd="http://www.w3.org/2001/XMLSchema" xmlns:xs="http://www.w3.org/2001/XMLSchema" xmlns:p="http://schemas.microsoft.com/office/2006/metadata/properties" xmlns:ns1="http://schemas.microsoft.com/sharepoint/v3" targetNamespace="http://schemas.microsoft.com/office/2006/metadata/properties" ma:root="true" ma:fieldsID="9c5a941a84bcf64b45beea60d7c9b2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413AA-6EC3-4D4C-866E-01F5764668E3}"/>
</file>

<file path=customXml/itemProps2.xml><?xml version="1.0" encoding="utf-8"?>
<ds:datastoreItem xmlns:ds="http://schemas.openxmlformats.org/officeDocument/2006/customXml" ds:itemID="{6F17D404-B007-4701-8592-35C6D9DCA4F0}"/>
</file>

<file path=customXml/itemProps3.xml><?xml version="1.0" encoding="utf-8"?>
<ds:datastoreItem xmlns:ds="http://schemas.openxmlformats.org/officeDocument/2006/customXml" ds:itemID="{5DF0AA7E-DCE7-4CEC-98D5-4DD2A8450E93}"/>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PV maunfacturers Encouraged to Partner with Go SOLAR</dc:title>
  <dc:subject/>
  <dc:creator>Dobies, Kenneth</dc:creator>
  <cp:keywords/>
  <dc:description/>
  <cp:lastModifiedBy>Dobies, Kenneth</cp:lastModifiedBy>
  <cp:revision>2</cp:revision>
  <cp:lastPrinted>2012-07-11T12:27:00Z</cp:lastPrinted>
  <dcterms:created xsi:type="dcterms:W3CDTF">2012-07-11T14:38:00Z</dcterms:created>
  <dcterms:modified xsi:type="dcterms:W3CDTF">2012-07-11T14:38:00Z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0x0101006E65CBC7B7DA914B8E72F95BA9D01A1E</vt:lpwstr>
  </property>
</Properties>
</file>